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Layout w:type="fixed"/>
        <w:tblLook w:val="04A0"/>
      </w:tblPr>
      <w:tblGrid>
        <w:gridCol w:w="9096"/>
      </w:tblGrid>
      <w:tr w:rsidR="00736D2D" w:rsidRPr="0072134F" w:rsidTr="00F05EBD">
        <w:trPr>
          <w:trHeight w:val="587"/>
        </w:trPr>
        <w:tc>
          <w:tcPr>
            <w:tcW w:w="9096" w:type="dxa"/>
            <w:shd w:val="clear" w:color="auto" w:fill="BFBFBF"/>
            <w:vAlign w:val="center"/>
          </w:tcPr>
          <w:p w:rsidR="00736D2D" w:rsidRPr="008603C2" w:rsidRDefault="00736D2D" w:rsidP="005C4A66">
            <w:pPr>
              <w:pStyle w:val="Titulo1AnexosTFG"/>
            </w:pPr>
            <w:bookmarkStart w:id="0" w:name="_Toc352151817"/>
            <w:bookmarkStart w:id="1" w:name="_Toc352155810"/>
            <w:bookmarkStart w:id="2" w:name="_Toc352157483"/>
            <w:bookmarkStart w:id="3" w:name="_Toc353178422"/>
            <w:bookmarkStart w:id="4" w:name="_Toc353181175"/>
            <w:permStart w:id="0" w:edGrp="everyone"/>
            <w:permEnd w:id="0"/>
            <w:r>
              <w:t>DIRECTRICES DE ORGANIZACIÓN DEL DOCUMENTO DE PROYECTO PROFESIONAL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736D2D" w:rsidRPr="0006201B" w:rsidTr="00F05EBD">
        <w:trPr>
          <w:trHeight w:val="275"/>
        </w:trPr>
        <w:tc>
          <w:tcPr>
            <w:tcW w:w="9096" w:type="dxa"/>
            <w:shd w:val="clear" w:color="auto" w:fill="BFBFBF"/>
            <w:vAlign w:val="center"/>
          </w:tcPr>
          <w:p w:rsidR="00736D2D" w:rsidRPr="008603C2" w:rsidRDefault="00736D2D" w:rsidP="008C34C5">
            <w:pPr>
              <w:pStyle w:val="Ttulo2AnexoTFG"/>
            </w:pPr>
            <w:bookmarkStart w:id="5" w:name="_Toc352151818"/>
            <w:bookmarkStart w:id="6" w:name="_Toc352155811"/>
            <w:bookmarkStart w:id="7" w:name="_Toc352157484"/>
            <w:bookmarkStart w:id="8" w:name="_Toc353178423"/>
            <w:bookmarkStart w:id="9" w:name="_Toc353181176"/>
            <w:r w:rsidRPr="008603C2">
              <w:t xml:space="preserve">(Modelo </w:t>
            </w:r>
            <w:bookmarkStart w:id="10" w:name="organización_documento_pry_prof_TFG"/>
            <w:r w:rsidRPr="008603C2">
              <w:t>TFG-</w:t>
            </w:r>
            <w:r>
              <w:t>8a</w:t>
            </w:r>
            <w:bookmarkEnd w:id="10"/>
            <w:r w:rsidRPr="008603C2">
              <w:t>)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736D2D" w:rsidRPr="0072134F" w:rsidTr="00F05EBD">
        <w:trPr>
          <w:trHeight w:val="12155"/>
        </w:trPr>
        <w:tc>
          <w:tcPr>
            <w:tcW w:w="9096" w:type="dxa"/>
            <w:shd w:val="clear" w:color="auto" w:fill="auto"/>
          </w:tcPr>
          <w:p w:rsidR="00736D2D" w:rsidRDefault="00736D2D" w:rsidP="00A67A2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736D2D" w:rsidRPr="00E171C5" w:rsidRDefault="00736D2D" w:rsidP="005C4A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El Proyecto Final del TFG se realizará conforme a las prescripciones que se recogen en la norma UNE157001 “CRITERIOS GENERALES PARA LA EL</w:t>
            </w:r>
            <w:bookmarkStart w:id="11" w:name="_GoBack"/>
            <w:bookmarkEnd w:id="11"/>
            <w:r w:rsidRPr="00E171C5">
              <w:rPr>
                <w:rFonts w:ascii="Arial" w:hAnsi="Arial" w:cs="Arial"/>
              </w:rPr>
              <w:t>ABORACIÓN DE PROYECTOS”</w:t>
            </w:r>
            <w:r w:rsidR="00762903">
              <w:rPr>
                <w:rFonts w:ascii="Arial" w:hAnsi="Arial" w:cs="Arial"/>
              </w:rPr>
              <w:t>,</w:t>
            </w:r>
            <w:r w:rsidRPr="00E171C5">
              <w:rPr>
                <w:rFonts w:ascii="Arial" w:hAnsi="Arial" w:cs="Arial"/>
              </w:rPr>
              <w:t xml:space="preserve"> estructurado en los siguientes documentos básicos: Índice General, Memoria, Anexos, Planos, Pliego de Condiciones, Estado de Mediciones y Presupuestos, y cuando proceda, Estudios Con Entidad Propia.</w:t>
            </w:r>
          </w:p>
          <w:p w:rsidR="00736D2D" w:rsidRDefault="00736D2D" w:rsidP="006E563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En dichos documentos han de quedar definidos todos los aspectos del TFG, de modo que cualquier Ingeniero Industrial a la vista de los mismos pueda conocer todas sus características sin necesidad de consultar otros documentos o recibir explicación oral. Naturalmente, quedan exceptuados: normativa vigente, códigos, reglamentos, fundamentos teóricos, que aparecerán identificados, pero sin necesidad de reproducir sus contenidos.</w:t>
            </w:r>
          </w:p>
          <w:p w:rsidR="00736D2D" w:rsidRPr="00E171C5" w:rsidRDefault="00736D2D" w:rsidP="005C4A6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Índice General</w:t>
            </w:r>
          </w:p>
          <w:p w:rsidR="00736D2D" w:rsidRDefault="00736D2D" w:rsidP="005C4A66">
            <w:pPr>
              <w:pStyle w:val="Prrafodelista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Su finalidad es la de localizar fácilmente los diferentes contenidos del Proyecto y recogerá todos y cada uno de los índices de los documentos básicos del TFG.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</w:rPr>
            </w:pPr>
            <w:r w:rsidRPr="00E171C5">
              <w:rPr>
                <w:rFonts w:ascii="Arial" w:hAnsi="Arial" w:cs="Arial"/>
                <w:u w:val="single"/>
              </w:rPr>
              <w:t>Resumen de la Memoria de Proyecto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Memoria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Ha de describir el objeto del Proyecto y justificar las soluciones adoptadas mediante los Planos y Pliego de condiciones elaborados. Así mismo, deberá ser claramente comprensible, especialmente en lo referido a los objetivos, las alternativas estudiadas, las ventajas e inconvenientes y las razones utilizadas para obtener la solución elegida.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Además recogerá: (1) los datos de partida proporcionados por un cliente hipotético; (2) los datos de partida fijados por el propio proyectista para su uso a lo largo del trabajo; (3) las características del proceso tecnológico seleccionado y razones para su selección; (4) alternativas consideradas en cuanto a soluciones globales, instalaciones principales, maquinaria y equipos, y materiales; (5) descripción detallada de las soluciones elegidas en cada caso y razones de la elección.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En primer lugar se incluirá en esta memoria una descripción general y después una específica para cada una de las áreas, si existiesen, en que esté dividido el Proyecto.</w:t>
            </w:r>
          </w:p>
          <w:p w:rsidR="00736D2D" w:rsidRDefault="00736D2D" w:rsidP="00D67697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 xml:space="preserve">A continuación, se describirá la planificación general del proyecto tanto en sus fases de ingeniería como en las de fabricación o construcción y puesta en servicio </w:t>
            </w:r>
            <w:r w:rsidRPr="00E171C5">
              <w:rPr>
                <w:rFonts w:ascii="Arial" w:hAnsi="Arial" w:cs="Arial"/>
              </w:rPr>
              <w:lastRenderedPageBreak/>
              <w:t>en los casos que el TFG lo requiriese.</w:t>
            </w:r>
          </w:p>
          <w:p w:rsidR="00736D2D" w:rsidRPr="00E171C5" w:rsidRDefault="00736D2D" w:rsidP="00D67697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Anexos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Está constituido por los documentos que desarrollan, justifican, o aclaran apartados específicos de la Memoria u otros documentos básicos del Proyecto.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 xml:space="preserve">Contendrá los anexos necesarios que procedan en cada caso, correspondientes a: 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1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 xml:space="preserve">Cálculos: 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Han de especificarse los cálculos necesarios para el estudio de alternativas y los relativos a instalaciones, maquinaria, equipos y materiales elegidos.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En todos los cálculos se propiciarán la utilización del ordenador, las representaciones gráficas de los cálculos y datos utilizados, de forma que se indiquen claramente los aspectos de dimensión relativa y precisión, así como la unicidad o no de las soluciones y los criterios de selección adoptados.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1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Anexos de aplicación en el ámbito del TFG: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 xml:space="preserve">Cuando el proyecto lo requiera han de realizarse anexos de seguridad, medioambiente, emplazamiento, geotécnicos, hidráulicos, hidrológicos, pluviométricos, etc. 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1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Otros: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Se relacionarán aquellos documentos que justifiquen y aclaren conceptos incluidos en el Proyecto (catálogos, listados, información de soportes de todo tipo, maquetas, etc.).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Planos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Constituyen una parte esencial ya que permiten trasladar a los supuestos ejecutores del proyecto los resultados obtenidos en los estudios y cálculos realizados.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Deben contener toda la información necesaria para ejecutar la etapa constructiva por lo que su contenido y grado de detalle debe acoplarse a esta necesidad.</w:t>
            </w:r>
          </w:p>
          <w:p w:rsidR="00736D2D" w:rsidRDefault="00736D2D" w:rsidP="005C4A66">
            <w:pPr>
              <w:pStyle w:val="Prrafodelista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Los planos se agruparan razonadamente conforme a la información que contienen y se ordenarán de modo que aparezcan en primer lugar los planos generales, después los más específicos y finalmente los de detalle que sean necesarios.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  <w:strike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Pliego de Condiciones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  <w:strike/>
              </w:rPr>
            </w:pPr>
            <w:r w:rsidRPr="00E171C5">
              <w:rPr>
                <w:rFonts w:ascii="Arial" w:hAnsi="Arial" w:cs="Arial"/>
              </w:rPr>
              <w:t xml:space="preserve">El Pliego de Condiciones recoge los aspectos de obligado cumplimiento desde el punto de vista legal y contractual. En él se regulan las relaciones entre los promotores, constructores e instaladores y los técnicos que participan en la </w:t>
            </w:r>
            <w:r w:rsidRPr="00E171C5">
              <w:rPr>
                <w:rFonts w:ascii="Arial" w:hAnsi="Arial" w:cs="Arial"/>
              </w:rPr>
              <w:lastRenderedPageBreak/>
              <w:t>ejecución de un proyecto.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Debe recoger las especificaciones de materiales y equipos y las de ejecución del proyecto, estableciendo cómo y con qué hay que desarrollarlo.</w:t>
            </w:r>
          </w:p>
          <w:p w:rsidR="00736D2D" w:rsidRPr="00E171C5" w:rsidRDefault="00736D2D" w:rsidP="00D67697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Constará de las siguientes partes: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2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Pliego de Condiciones Generales: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Contendrá una descripción general del proyecto con sus características y los aspectos legales y administrativos a tener en cuenta.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2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Especificaciones de Materiales y Equipos: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Se relacionarán los materiales, equipos, máquinas e instalaciones que se van a utilizar en el proyecto, definiendo sus funciones y los códigos y reglamentos que los avalan.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2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Especificaciones de Ejecución: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Ha de explicarse detalladamente cómo se llevaría a cabo la ejecución material del proyecto, su fabricación o construcción a partir de los materiales especificados anteriormente.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2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Condiciones Económicas:</w:t>
            </w:r>
          </w:p>
          <w:p w:rsidR="00736D2D" w:rsidRDefault="00736D2D" w:rsidP="006E5638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Recogerá los aspectos económicos de las relaciones entre promotores y ejecutores del proyecto.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Estado de Mediciones</w:t>
            </w:r>
          </w:p>
          <w:p w:rsidR="00736D2D" w:rsidRPr="00E171C5" w:rsidRDefault="00736D2D" w:rsidP="006E5638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El objetivo de este apartado es de definir y determinar las unidades de partida u obra que configuran la totalidad del proyecto.</w:t>
            </w:r>
          </w:p>
          <w:p w:rsidR="00736D2D" w:rsidRPr="00E171C5" w:rsidRDefault="00736D2D" w:rsidP="006E5638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Ha de incluir por ello el número de unidades definiendo sus características, modelos, tipo y dimensiones de cada partida de obra o elemento objeto del proyecto.</w:t>
            </w:r>
          </w:p>
          <w:p w:rsidR="00736D2D" w:rsidRPr="00E171C5" w:rsidRDefault="00736D2D" w:rsidP="006E5638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Es fundamental para la realización del presupuesto.</w:t>
            </w:r>
          </w:p>
          <w:p w:rsidR="00736D2D" w:rsidRPr="00E171C5" w:rsidRDefault="00736D2D" w:rsidP="006E5638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El Estado de las Mediciones recogen de forma ordenada las cantidades de los distintos materiales que se van a utilizar en la ejecución del proyecto así como los equipos que se van a incluir.</w:t>
            </w:r>
          </w:p>
          <w:p w:rsidR="00736D2D" w:rsidRDefault="00736D2D" w:rsidP="006E5638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 xml:space="preserve">El grado de descomposición de estas mediciones variará conforme al tipo de proyecto. 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Presupuesto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  <w:strike/>
              </w:rPr>
            </w:pPr>
            <w:r w:rsidRPr="00E171C5">
              <w:rPr>
                <w:rFonts w:ascii="Arial" w:hAnsi="Arial" w:cs="Arial"/>
              </w:rPr>
              <w:lastRenderedPageBreak/>
              <w:t>Supone la valoración total del proyecto, según los criterios del proyectista.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El presupuesto ha de realizarse en una fecha y condiciones concretas y cualquier variación de ellas puede modificar el importe previsto.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Ha de constar de las siguientes partes: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3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Cuadro de Precios Unitarios:</w:t>
            </w:r>
          </w:p>
          <w:p w:rsidR="00736D2D" w:rsidRPr="00E171C5" w:rsidRDefault="00736D2D" w:rsidP="006E5638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Recogerá los precios de todos los materiales, mano de obra y elementos auxiliares que componen las partidas o unidades de obra.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3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Cuadro de Precios Descompuestos de las Unidades de Obra: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Conforme a lo indicado en el Estado de Mediciones y con la descomposición correspondiente de materiales, mano de obra y elementos auxiliares.</w:t>
            </w: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3"/>
              </w:numPr>
              <w:ind w:left="1080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Presupuesto:</w:t>
            </w:r>
          </w:p>
          <w:p w:rsidR="00736D2D" w:rsidRDefault="00736D2D" w:rsidP="005C4A66">
            <w:pPr>
              <w:pStyle w:val="Prrafodelista"/>
              <w:ind w:left="1080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Contendrá la valoración económica global, desglosada y ordenada según el Estado de Mediciones.</w:t>
            </w:r>
          </w:p>
          <w:p w:rsidR="00736D2D" w:rsidRPr="00E171C5" w:rsidRDefault="00736D2D" w:rsidP="005C4A66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  <w:p w:rsidR="00736D2D" w:rsidRPr="00E171C5" w:rsidRDefault="00736D2D" w:rsidP="00736D2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  <w:u w:val="single"/>
              </w:rPr>
              <w:t>Estudios con Entidad Propia</w:t>
            </w:r>
          </w:p>
          <w:p w:rsidR="00736D2D" w:rsidRPr="00E171C5" w:rsidRDefault="00736D2D" w:rsidP="005C4A66">
            <w:pPr>
              <w:pStyle w:val="Prrafodelista"/>
              <w:jc w:val="both"/>
              <w:rPr>
                <w:rFonts w:ascii="Arial" w:hAnsi="Arial" w:cs="Arial"/>
              </w:rPr>
            </w:pPr>
            <w:r w:rsidRPr="00E171C5">
              <w:rPr>
                <w:rFonts w:ascii="Arial" w:hAnsi="Arial" w:cs="Arial"/>
              </w:rPr>
              <w:t>Contendrá aquellos estudios que por las características específicas del proyecto deban incluirse en él por exigencia legal (Ej. Estudio de Impacto Medioambiental, etc.)</w:t>
            </w:r>
            <w:r>
              <w:rPr>
                <w:rFonts w:ascii="Arial" w:hAnsi="Arial" w:cs="Arial"/>
              </w:rPr>
              <w:t>.</w:t>
            </w:r>
          </w:p>
          <w:p w:rsidR="00736D2D" w:rsidRPr="0072134F" w:rsidRDefault="00736D2D" w:rsidP="005C4A66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51" w:lineRule="exact"/>
              <w:ind w:left="159" w:right="44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36D2D" w:rsidRDefault="00736D2D"/>
    <w:sectPr w:rsidR="00736D2D" w:rsidSect="00581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760"/>
    <w:multiLevelType w:val="multilevel"/>
    <w:tmpl w:val="FA1C86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24614D40"/>
    <w:multiLevelType w:val="hybridMultilevel"/>
    <w:tmpl w:val="EAE882EE"/>
    <w:lvl w:ilvl="0" w:tplc="8F705DA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3AB439AE"/>
    <w:multiLevelType w:val="hybridMultilevel"/>
    <w:tmpl w:val="5F4203B4"/>
    <w:lvl w:ilvl="0" w:tplc="EC087984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3E033DB6"/>
    <w:multiLevelType w:val="hybridMultilevel"/>
    <w:tmpl w:val="3E78F6D0"/>
    <w:lvl w:ilvl="0" w:tplc="3306F540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compat>
    <w:useFELayout/>
  </w:compat>
  <w:rsids>
    <w:rsidRoot w:val="00B45BBD"/>
    <w:rsid w:val="00447326"/>
    <w:rsid w:val="00581717"/>
    <w:rsid w:val="006E5638"/>
    <w:rsid w:val="00736D2D"/>
    <w:rsid w:val="00762903"/>
    <w:rsid w:val="007B36B5"/>
    <w:rsid w:val="008B7AC0"/>
    <w:rsid w:val="00916D4D"/>
    <w:rsid w:val="009922A8"/>
    <w:rsid w:val="00B34083"/>
    <w:rsid w:val="00B45BBD"/>
    <w:rsid w:val="00C75B3F"/>
    <w:rsid w:val="00D233DC"/>
    <w:rsid w:val="00E2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17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5B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5BBD"/>
    <w:pPr>
      <w:ind w:left="720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iPriority w:val="99"/>
    <w:unhideWhenUsed/>
    <w:rsid w:val="00B45BBD"/>
    <w:rPr>
      <w:color w:val="0000FF"/>
      <w:u w:val="single"/>
    </w:rPr>
  </w:style>
  <w:style w:type="paragraph" w:customStyle="1" w:styleId="Titulo1AnexosTFG">
    <w:name w:val="Titulo 1 Anexos TFG"/>
    <w:basedOn w:val="Ttulo4"/>
    <w:link w:val="Titulo1AnexosTFGCar"/>
    <w:qFormat/>
    <w:rsid w:val="00B45BBD"/>
    <w:pPr>
      <w:keepLines w:val="0"/>
      <w:spacing w:before="240" w:after="60"/>
      <w:jc w:val="center"/>
    </w:pPr>
    <w:rPr>
      <w:rFonts w:ascii="Arial" w:eastAsia="Times New Roman" w:hAnsi="Arial" w:cs="Times New Roman"/>
      <w:i w:val="0"/>
      <w:iCs w:val="0"/>
      <w:color w:val="auto"/>
      <w:sz w:val="24"/>
      <w:szCs w:val="20"/>
      <w:lang w:eastAsia="en-US"/>
    </w:rPr>
  </w:style>
  <w:style w:type="character" w:customStyle="1" w:styleId="Titulo1AnexosTFGCar">
    <w:name w:val="Titulo 1 Anexos TFG Car"/>
    <w:link w:val="Titulo1AnexosTFG"/>
    <w:rsid w:val="00B45BBD"/>
    <w:rPr>
      <w:rFonts w:ascii="Arial" w:eastAsia="Times New Roman" w:hAnsi="Arial" w:cs="Times New Roman"/>
      <w:b/>
      <w:bCs/>
      <w:sz w:val="24"/>
      <w:szCs w:val="20"/>
      <w:lang w:eastAsia="en-US"/>
    </w:rPr>
  </w:style>
  <w:style w:type="paragraph" w:customStyle="1" w:styleId="Ttulo2AnexoTFG">
    <w:name w:val="Título 2 Anexo TFG"/>
    <w:basedOn w:val="Ttulo5"/>
    <w:link w:val="Ttulo2AnexoTFGCar"/>
    <w:qFormat/>
    <w:rsid w:val="00B45BBD"/>
    <w:pPr>
      <w:keepNext w:val="0"/>
      <w:keepLines w:val="0"/>
      <w:spacing w:before="0"/>
      <w:jc w:val="right"/>
    </w:pPr>
    <w:rPr>
      <w:rFonts w:ascii="Arial" w:eastAsia="Times New Roman" w:hAnsi="Arial" w:cs="Times New Roman"/>
      <w:b/>
      <w:bCs/>
      <w:iCs/>
      <w:color w:val="auto"/>
      <w:sz w:val="20"/>
      <w:szCs w:val="20"/>
      <w:lang w:bidi="he-IL"/>
    </w:rPr>
  </w:style>
  <w:style w:type="character" w:customStyle="1" w:styleId="Ttulo2AnexoTFGCar">
    <w:name w:val="Título 2 Anexo TFG Car"/>
    <w:link w:val="Ttulo2AnexoTFG"/>
    <w:rsid w:val="00B45BBD"/>
    <w:rPr>
      <w:rFonts w:ascii="Arial" w:eastAsia="Times New Roman" w:hAnsi="Arial" w:cs="Times New Roman"/>
      <w:b/>
      <w:bCs/>
      <w:iCs/>
      <w:sz w:val="20"/>
      <w:szCs w:val="20"/>
      <w:lang w:bidi="he-I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5B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5BB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Sánchez</dc:creator>
  <cp:keywords/>
  <dc:description/>
  <cp:lastModifiedBy>Gabriel</cp:lastModifiedBy>
  <cp:revision>6</cp:revision>
  <dcterms:created xsi:type="dcterms:W3CDTF">2013-04-08T07:20:00Z</dcterms:created>
  <dcterms:modified xsi:type="dcterms:W3CDTF">2019-09-13T14:13:00Z</dcterms:modified>
</cp:coreProperties>
</file>